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44" w:rsidRPr="00765D44" w:rsidRDefault="00765D44" w:rsidP="00765D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65D44">
        <w:rPr>
          <w:rFonts w:ascii="Times New Roman" w:hAnsi="Times New Roman"/>
          <w:b/>
          <w:sz w:val="28"/>
          <w:szCs w:val="28"/>
        </w:rPr>
        <w:t>Администрация Ермаковского района</w:t>
      </w:r>
    </w:p>
    <w:p w:rsidR="00765D44" w:rsidRPr="00765D44" w:rsidRDefault="00765D44" w:rsidP="00765D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65D44">
        <w:rPr>
          <w:rFonts w:ascii="Times New Roman" w:hAnsi="Times New Roman"/>
          <w:b/>
          <w:sz w:val="28"/>
          <w:szCs w:val="28"/>
        </w:rPr>
        <w:t>ПОСТАНОВЛЕНИЕ</w:t>
      </w:r>
    </w:p>
    <w:p w:rsidR="00765D44" w:rsidRPr="00765D44" w:rsidRDefault="00765D44" w:rsidP="00765D44">
      <w:pPr>
        <w:pStyle w:val="a9"/>
        <w:rPr>
          <w:rFonts w:ascii="Times New Roman" w:hAnsi="Times New Roman"/>
          <w:b/>
          <w:sz w:val="28"/>
          <w:szCs w:val="28"/>
        </w:rPr>
      </w:pPr>
    </w:p>
    <w:p w:rsidR="00456991" w:rsidRDefault="00765D44" w:rsidP="00765D44">
      <w:pPr>
        <w:pStyle w:val="a9"/>
        <w:rPr>
          <w:rFonts w:ascii="Times New Roman" w:hAnsi="Times New Roman"/>
          <w:sz w:val="28"/>
          <w:szCs w:val="28"/>
        </w:rPr>
      </w:pPr>
      <w:r w:rsidRPr="00765D4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12</w:t>
      </w:r>
      <w:bookmarkStart w:id="0" w:name="_GoBack"/>
      <w:bookmarkEnd w:id="0"/>
      <w:r w:rsidRPr="00765D44">
        <w:rPr>
          <w:rFonts w:ascii="Times New Roman" w:hAnsi="Times New Roman"/>
          <w:sz w:val="28"/>
          <w:szCs w:val="28"/>
        </w:rPr>
        <w:t xml:space="preserve">» марта 2019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65D44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  <w:lang w:val="en-US"/>
        </w:rPr>
        <w:t>97</w:t>
      </w:r>
      <w:r w:rsidRPr="00765D44">
        <w:rPr>
          <w:rFonts w:ascii="Times New Roman" w:hAnsi="Times New Roman"/>
          <w:sz w:val="28"/>
          <w:szCs w:val="28"/>
        </w:rPr>
        <w:t>-п</w:t>
      </w: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Default="00456991" w:rsidP="00BB35C0">
      <w:pPr>
        <w:pStyle w:val="a9"/>
        <w:rPr>
          <w:rFonts w:ascii="Times New Roman" w:hAnsi="Times New Roman"/>
          <w:sz w:val="28"/>
          <w:szCs w:val="28"/>
        </w:rPr>
      </w:pPr>
    </w:p>
    <w:p w:rsidR="00456991" w:rsidRPr="00BB35C0" w:rsidRDefault="00456991" w:rsidP="00BB35C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35C0">
        <w:rPr>
          <w:rFonts w:ascii="Times New Roman" w:hAnsi="Times New Roman"/>
          <w:sz w:val="28"/>
          <w:szCs w:val="28"/>
        </w:rPr>
        <w:t xml:space="preserve"> внесении изменений в учетную политику </w:t>
      </w:r>
    </w:p>
    <w:p w:rsidR="00456991" w:rsidRPr="00BB35C0" w:rsidRDefault="00456991" w:rsidP="00BB35C0">
      <w:pPr>
        <w:pStyle w:val="a9"/>
        <w:rPr>
          <w:rFonts w:ascii="Times New Roman" w:hAnsi="Times New Roman"/>
          <w:sz w:val="28"/>
          <w:szCs w:val="28"/>
        </w:rPr>
      </w:pPr>
      <w:r w:rsidRPr="00BB35C0">
        <w:rPr>
          <w:rFonts w:ascii="Times New Roman" w:hAnsi="Times New Roman"/>
          <w:sz w:val="28"/>
          <w:szCs w:val="28"/>
        </w:rPr>
        <w:t xml:space="preserve">для целей бухгалтерского  и </w:t>
      </w:r>
    </w:p>
    <w:p w:rsidR="00456991" w:rsidRPr="00BB35C0" w:rsidRDefault="00456991" w:rsidP="00BB35C0">
      <w:pPr>
        <w:pStyle w:val="a9"/>
        <w:rPr>
          <w:rFonts w:ascii="Times New Roman" w:hAnsi="Times New Roman"/>
          <w:sz w:val="28"/>
          <w:szCs w:val="28"/>
        </w:rPr>
      </w:pPr>
      <w:r w:rsidRPr="00BB35C0">
        <w:rPr>
          <w:rFonts w:ascii="Times New Roman" w:hAnsi="Times New Roman"/>
          <w:sz w:val="28"/>
          <w:szCs w:val="28"/>
        </w:rPr>
        <w:t xml:space="preserve">налогового учета по администрации </w:t>
      </w:r>
    </w:p>
    <w:p w:rsidR="00456991" w:rsidRPr="00BB35C0" w:rsidRDefault="00456991" w:rsidP="00BB35C0">
      <w:pPr>
        <w:pStyle w:val="a9"/>
        <w:rPr>
          <w:rFonts w:ascii="Times New Roman" w:hAnsi="Times New Roman"/>
          <w:sz w:val="28"/>
          <w:szCs w:val="28"/>
        </w:rPr>
      </w:pPr>
      <w:r w:rsidRPr="00BB35C0">
        <w:rPr>
          <w:rFonts w:ascii="Times New Roman" w:hAnsi="Times New Roman"/>
          <w:sz w:val="28"/>
          <w:szCs w:val="28"/>
        </w:rPr>
        <w:t>Ермаковского района на 2018 год и последующие годы»</w:t>
      </w:r>
    </w:p>
    <w:p w:rsidR="00456991" w:rsidRDefault="00456991" w:rsidP="00336964">
      <w:pPr>
        <w:rPr>
          <w:rFonts w:ascii="Times New Roman" w:hAnsi="Times New Roman"/>
          <w:sz w:val="28"/>
          <w:szCs w:val="28"/>
        </w:rPr>
      </w:pPr>
    </w:p>
    <w:p w:rsidR="00456991" w:rsidRPr="00BB35C0" w:rsidRDefault="00456991" w:rsidP="00336964">
      <w:pPr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336964">
      <w:pPr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 xml:space="preserve">1. Внести в Учетную политику для целей бухгалтерского  и налогового учета </w:t>
      </w:r>
      <w:proofErr w:type="gramStart"/>
      <w:r w:rsidRPr="00BD34C1">
        <w:rPr>
          <w:rFonts w:ascii="Times New Roman" w:hAnsi="Times New Roman"/>
          <w:sz w:val="28"/>
          <w:szCs w:val="28"/>
        </w:rPr>
        <w:t>по</w:t>
      </w:r>
      <w:proofErr w:type="gramEnd"/>
      <w:r w:rsidRPr="00BD34C1">
        <w:rPr>
          <w:rFonts w:ascii="Times New Roman" w:hAnsi="Times New Roman"/>
          <w:sz w:val="28"/>
          <w:szCs w:val="28"/>
        </w:rPr>
        <w:t xml:space="preserve"> администрации Ермаковского района на 2018 год и последующие годы, утвержденную Постановлением от 29.10.2018  N 605-п</w:t>
      </w:r>
      <w:r>
        <w:rPr>
          <w:rFonts w:ascii="Times New Roman" w:hAnsi="Times New Roman"/>
          <w:sz w:val="28"/>
          <w:szCs w:val="28"/>
        </w:rPr>
        <w:t xml:space="preserve"> согласно введения в действие новых Федеральных стандартов бухгалтерского учета с 01 января 2019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D34C1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D34C1">
        <w:rPr>
          <w:rFonts w:ascii="Times New Roman" w:hAnsi="Times New Roman"/>
          <w:sz w:val="28"/>
          <w:szCs w:val="28"/>
        </w:rPr>
        <w:t xml:space="preserve"> изменения согласно Приложению N 1 к настоящему Постановлению.</w:t>
      </w:r>
    </w:p>
    <w:p w:rsidR="0045699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 xml:space="preserve">2. Изменения, внесенные в редакцию Учетной политики для целей бухгалтерского  и налогового учета по администрации Ермаковского района на 2018 год и последующие годы,  настоящим Постановлением, применяются с 1 января </w:t>
      </w:r>
      <w:smartTag w:uri="urn:schemas-microsoft-com:office:smarttags" w:element="metricconverter">
        <w:smartTagPr>
          <w:attr w:name="ProductID" w:val="2019 г"/>
        </w:smartTagPr>
        <w:r w:rsidRPr="00BD34C1">
          <w:rPr>
            <w:rFonts w:ascii="Times New Roman" w:hAnsi="Times New Roman"/>
            <w:sz w:val="28"/>
            <w:szCs w:val="28"/>
          </w:rPr>
          <w:t>2019 г</w:t>
        </w:r>
      </w:smartTag>
      <w:r w:rsidRPr="00BD34C1">
        <w:rPr>
          <w:rFonts w:ascii="Times New Roman" w:hAnsi="Times New Roman"/>
          <w:sz w:val="28"/>
          <w:szCs w:val="28"/>
        </w:rPr>
        <w:t>.</w:t>
      </w:r>
    </w:p>
    <w:p w:rsidR="00456991" w:rsidRPr="00BD34C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>3. Ознакомить с настоящим Постановлением  всех сотрудников администрации района, имеющих отношение к учетному процессу.</w:t>
      </w:r>
    </w:p>
    <w:p w:rsidR="00456991" w:rsidRPr="00BD34C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начальника отдела учета и отчетности.</w:t>
      </w:r>
    </w:p>
    <w:p w:rsidR="00456991" w:rsidRPr="00BD34C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33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 xml:space="preserve">Глава Ермаковского района                                  </w:t>
      </w:r>
      <w:proofErr w:type="spellStart"/>
      <w:r w:rsidRPr="00BD34C1">
        <w:rPr>
          <w:rFonts w:ascii="Times New Roman" w:hAnsi="Times New Roman"/>
          <w:sz w:val="28"/>
          <w:szCs w:val="28"/>
        </w:rPr>
        <w:t>М.А.Виговский</w:t>
      </w:r>
      <w:proofErr w:type="spellEnd"/>
    </w:p>
    <w:p w:rsidR="00456991" w:rsidRPr="00BD34C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Default="00456991" w:rsidP="0033696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8924C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Приложение N 1</w:t>
      </w:r>
    </w:p>
    <w:p w:rsidR="00456991" w:rsidRPr="00BD34C1" w:rsidRDefault="00456991" w:rsidP="008924CD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4C1">
        <w:rPr>
          <w:rFonts w:ascii="Times New Roman" w:hAnsi="Times New Roman"/>
          <w:sz w:val="28"/>
          <w:szCs w:val="28"/>
        </w:rPr>
        <w:t xml:space="preserve">                                                     к Постановлению от 12.03.2019 N </w:t>
      </w:r>
      <w:r>
        <w:rPr>
          <w:rFonts w:ascii="Times New Roman" w:hAnsi="Times New Roman"/>
          <w:sz w:val="28"/>
          <w:szCs w:val="28"/>
        </w:rPr>
        <w:t>97-п</w:t>
      </w:r>
    </w:p>
    <w:p w:rsidR="00456991" w:rsidRPr="00BD34C1" w:rsidRDefault="00456991" w:rsidP="008924C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991" w:rsidRPr="00BD34C1" w:rsidRDefault="00456991" w:rsidP="008924C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34C1">
        <w:rPr>
          <w:rFonts w:ascii="Times New Roman" w:hAnsi="Times New Roman"/>
          <w:b/>
          <w:bCs/>
          <w:sz w:val="28"/>
          <w:szCs w:val="28"/>
        </w:rPr>
        <w:t xml:space="preserve">Изменения Учетной политики </w:t>
      </w:r>
      <w:r w:rsidRPr="00BD34C1">
        <w:rPr>
          <w:rFonts w:ascii="Times New Roman" w:hAnsi="Times New Roman"/>
          <w:b/>
          <w:sz w:val="28"/>
          <w:szCs w:val="28"/>
        </w:rPr>
        <w:t>для целей бухгалтерского  и налогового учета по администрации Ермаковского района на 2018 год и последующие годы.</w:t>
      </w:r>
    </w:p>
    <w:p w:rsidR="00456991" w:rsidRPr="00BD34C1" w:rsidRDefault="00456991" w:rsidP="00BD34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991" w:rsidRPr="00BD34C1" w:rsidRDefault="00456991" w:rsidP="0061053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991" w:rsidRPr="00BD34C1" w:rsidRDefault="00456991" w:rsidP="00BD34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BD34C1">
        <w:rPr>
          <w:rFonts w:ascii="Times New Roman" w:hAnsi="Times New Roman"/>
          <w:bCs/>
          <w:sz w:val="28"/>
          <w:szCs w:val="28"/>
        </w:rPr>
        <w:t>1. Пункт 1 дополнить:</w:t>
      </w:r>
    </w:p>
    <w:p w:rsidR="00456991" w:rsidRPr="00BD34C1" w:rsidRDefault="00456991" w:rsidP="00BD34C1">
      <w:pPr>
        <w:shd w:val="clear" w:color="auto" w:fill="FFFFFF"/>
        <w:spacing w:after="0" w:line="346" w:lineRule="atLeast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 </w:t>
      </w:r>
      <w:hyperlink r:id="rId6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стандарт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</w:t>
      </w:r>
      <w:hyperlink r:id="rId7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СГС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"Отчет о движении денежных средств");</w:t>
      </w:r>
    </w:p>
    <w:p w:rsidR="00456991" w:rsidRPr="00BD34C1" w:rsidRDefault="00456991" w:rsidP="00BD34C1">
      <w:pPr>
        <w:shd w:val="clear" w:color="auto" w:fill="FFFFFF"/>
        <w:spacing w:after="0" w:line="346" w:lineRule="atLeast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 </w:t>
      </w:r>
      <w:hyperlink r:id="rId8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стандарт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№ 274н (далее - </w:t>
      </w:r>
      <w:hyperlink r:id="rId9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СГС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"Учетная политика");</w:t>
      </w:r>
    </w:p>
    <w:p w:rsidR="00456991" w:rsidRPr="00BD34C1" w:rsidRDefault="00456991" w:rsidP="00BD34C1">
      <w:pPr>
        <w:shd w:val="clear" w:color="auto" w:fill="FFFFFF"/>
        <w:spacing w:after="0" w:line="346" w:lineRule="atLeast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 </w:t>
      </w:r>
      <w:hyperlink r:id="rId10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стандарт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бухгалтерского учета для организаций государственного сектора "События после отчетной даты", утвержденный Приказом Минфина России от 30.12.2017 № 275н (далее - </w:t>
      </w:r>
      <w:hyperlink r:id="rId11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СГС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"События после отчетной даты");</w:t>
      </w:r>
    </w:p>
    <w:p w:rsidR="00456991" w:rsidRPr="00BD34C1" w:rsidRDefault="00456991" w:rsidP="00BD34C1">
      <w:pPr>
        <w:shd w:val="clear" w:color="auto" w:fill="FFFFFF"/>
        <w:spacing w:after="0" w:line="346" w:lineRule="atLeast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 </w:t>
      </w:r>
      <w:hyperlink r:id="rId12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стандарт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бухгалтерского учета для организаций государственного сектора "Доходы", утвержденный Приказом Минфина России от 27.02.2018 № 32н (далее - </w:t>
      </w:r>
      <w:hyperlink r:id="rId13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СГС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"Доходы");</w:t>
      </w:r>
    </w:p>
    <w:p w:rsidR="00456991" w:rsidRPr="00BD34C1" w:rsidRDefault="00456991" w:rsidP="00BD34C1">
      <w:pPr>
        <w:shd w:val="clear" w:color="auto" w:fill="FFFFFF"/>
        <w:spacing w:after="0" w:line="346" w:lineRule="atLeast"/>
        <w:ind w:left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 </w:t>
      </w:r>
      <w:hyperlink r:id="rId14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стандарт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бухгалтерского учета для организаций государственного сектора "Влияние изменений курсов иностранных валют", утвержденный Приказом Минфина России от 30.05.2018 № 122н (далее - </w:t>
      </w:r>
      <w:hyperlink r:id="rId15" w:tooltip="Ссылка на КонсультантПлюс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СГС</w:t>
        </w:r>
      </w:hyperlink>
      <w:r w:rsidRPr="00BD34C1">
        <w:rPr>
          <w:rFonts w:ascii="Times New Roman" w:hAnsi="Times New Roman"/>
          <w:color w:val="000000"/>
          <w:sz w:val="28"/>
          <w:szCs w:val="28"/>
          <w:lang w:eastAsia="ru-RU"/>
        </w:rPr>
        <w:t> "Влияние изменений курсов иностранных валют");</w:t>
      </w:r>
    </w:p>
    <w:p w:rsidR="00456991" w:rsidRPr="00BD34C1" w:rsidRDefault="00456991" w:rsidP="00A632B6">
      <w:pPr>
        <w:shd w:val="clear" w:color="auto" w:fill="FFFFFF"/>
        <w:spacing w:after="0" w:line="346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6991" w:rsidRPr="0053610C" w:rsidRDefault="00456991" w:rsidP="00BD34C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refseq"/>
          <w:sz w:val="28"/>
          <w:szCs w:val="28"/>
        </w:rPr>
      </w:pPr>
      <w:proofErr w:type="spellStart"/>
      <w:r w:rsidRPr="00BD34C1">
        <w:rPr>
          <w:rStyle w:val="arefseq"/>
          <w:b/>
          <w:bCs/>
          <w:sz w:val="28"/>
          <w:szCs w:val="28"/>
        </w:rPr>
        <w:t>Пукт</w:t>
      </w:r>
      <w:proofErr w:type="spellEnd"/>
      <w:r w:rsidRPr="00BD34C1">
        <w:rPr>
          <w:rStyle w:val="arefseq"/>
          <w:b/>
          <w:bCs/>
          <w:sz w:val="28"/>
          <w:szCs w:val="28"/>
        </w:rPr>
        <w:t xml:space="preserve"> 2.1 дополнить.</w:t>
      </w:r>
    </w:p>
    <w:p w:rsidR="00456991" w:rsidRPr="00BD34C1" w:rsidRDefault="00456991" w:rsidP="0053610C">
      <w:pPr>
        <w:pStyle w:val="a4"/>
        <w:spacing w:before="0" w:beforeAutospacing="0" w:after="0" w:afterAutospacing="0"/>
        <w:ind w:left="720"/>
        <w:jc w:val="both"/>
        <w:rPr>
          <w:rStyle w:val="arefseq"/>
          <w:sz w:val="28"/>
          <w:szCs w:val="28"/>
        </w:rPr>
      </w:pPr>
    </w:p>
    <w:p w:rsidR="00456991" w:rsidRPr="00BD34C1" w:rsidRDefault="00456991" w:rsidP="00BD34C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D34C1">
        <w:rPr>
          <w:rStyle w:val="arefseq"/>
          <w:b/>
          <w:bCs/>
          <w:sz w:val="28"/>
          <w:szCs w:val="28"/>
        </w:rPr>
        <w:t> </w:t>
      </w:r>
      <w:r>
        <w:rPr>
          <w:rStyle w:val="arefseq"/>
          <w:b/>
          <w:bCs/>
          <w:sz w:val="28"/>
          <w:szCs w:val="28"/>
        </w:rPr>
        <w:t xml:space="preserve">Утвердить </w:t>
      </w:r>
      <w:r w:rsidRPr="00BD34C1">
        <w:rPr>
          <w:sz w:val="28"/>
          <w:szCs w:val="28"/>
        </w:rPr>
        <w:t>Порядок передачи документов и дел при смене руководителя, главного бухгалтера приведен в Приложении № </w:t>
      </w:r>
      <w:hyperlink r:id="rId16" w:anchor="seq1194896" w:history="1">
        <w:r>
          <w:rPr>
            <w:rStyle w:val="a3"/>
            <w:color w:val="1482D7"/>
            <w:sz w:val="28"/>
            <w:szCs w:val="28"/>
          </w:rPr>
          <w:t>6</w:t>
        </w:r>
      </w:hyperlink>
      <w:r w:rsidRPr="00BD34C1">
        <w:rPr>
          <w:rStyle w:val="apple-converted-space"/>
          <w:sz w:val="28"/>
          <w:szCs w:val="28"/>
        </w:rPr>
        <w:t> </w:t>
      </w:r>
      <w:r w:rsidRPr="00BD34C1">
        <w:rPr>
          <w:sz w:val="28"/>
          <w:szCs w:val="28"/>
        </w:rPr>
        <w:t>к Учетной политике.</w:t>
      </w:r>
    </w:p>
    <w:p w:rsidR="00456991" w:rsidRPr="00361FC2" w:rsidRDefault="00456991" w:rsidP="00BD34C1">
      <w:pPr>
        <w:pStyle w:val="a4"/>
        <w:spacing w:before="0" w:beforeAutospacing="0" w:after="0" w:afterAutospacing="0"/>
        <w:ind w:left="720"/>
        <w:jc w:val="both"/>
        <w:rPr>
          <w:rStyle w:val="a5"/>
          <w:i w:val="0"/>
          <w:iCs w:val="0"/>
          <w:sz w:val="28"/>
          <w:szCs w:val="28"/>
        </w:rPr>
      </w:pPr>
      <w:r w:rsidRPr="00361FC2">
        <w:rPr>
          <w:rStyle w:val="a5"/>
          <w:i w:val="0"/>
          <w:sz w:val="28"/>
          <w:szCs w:val="28"/>
        </w:rPr>
        <w:t>(Основание:</w:t>
      </w:r>
      <w:r w:rsidRPr="00361FC2">
        <w:rPr>
          <w:rStyle w:val="apple-converted-space"/>
          <w:i/>
          <w:iCs/>
          <w:sz w:val="28"/>
          <w:szCs w:val="28"/>
        </w:rPr>
        <w:t> </w:t>
      </w:r>
      <w:hyperlink r:id="rId17" w:tooltip="Ссылка на КонсультантПлюс" w:history="1">
        <w:r w:rsidRPr="00361FC2">
          <w:rPr>
            <w:rStyle w:val="a5"/>
            <w:i w:val="0"/>
            <w:color w:val="1482D7"/>
            <w:sz w:val="28"/>
            <w:szCs w:val="28"/>
            <w:u w:val="single"/>
          </w:rPr>
          <w:t>п. 14</w:t>
        </w:r>
      </w:hyperlink>
      <w:r w:rsidRPr="00361FC2">
        <w:rPr>
          <w:rStyle w:val="apple-converted-space"/>
          <w:i/>
          <w:iCs/>
          <w:sz w:val="28"/>
          <w:szCs w:val="28"/>
        </w:rPr>
        <w:t> </w:t>
      </w:r>
      <w:r w:rsidRPr="00361FC2">
        <w:rPr>
          <w:rStyle w:val="a5"/>
          <w:i w:val="0"/>
          <w:sz w:val="28"/>
          <w:szCs w:val="28"/>
        </w:rPr>
        <w:t>Инструкции № 157н)</w:t>
      </w:r>
    </w:p>
    <w:p w:rsidR="00456991" w:rsidRPr="00BD34C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Pr="00BD34C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Pr="00BD34C1" w:rsidRDefault="00456991" w:rsidP="0098308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56991" w:rsidRPr="00BD34C1" w:rsidRDefault="00456991" w:rsidP="009830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56991" w:rsidRDefault="00456991" w:rsidP="00634668">
      <w:pPr>
        <w:pStyle w:val="a7"/>
        <w:shd w:val="clear" w:color="auto" w:fill="FFFFFF"/>
        <w:spacing w:after="30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BD34C1">
        <w:rPr>
          <w:rFonts w:ascii="Times New Roman" w:hAnsi="Times New Roman"/>
          <w:sz w:val="28"/>
          <w:szCs w:val="28"/>
          <w:lang w:eastAsia="ru-RU"/>
        </w:rPr>
        <w:t>Приложение № 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456991" w:rsidRDefault="00456991" w:rsidP="00634668">
      <w:pPr>
        <w:pStyle w:val="a7"/>
        <w:shd w:val="clear" w:color="auto" w:fill="FFFFFF"/>
        <w:spacing w:after="30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к Учетной политике</w:t>
      </w:r>
      <w:r w:rsidRPr="00BD34C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BD34C1">
        <w:rPr>
          <w:rFonts w:ascii="Times New Roman" w:hAnsi="Times New Roman"/>
          <w:sz w:val="28"/>
          <w:szCs w:val="28"/>
          <w:lang w:eastAsia="ru-RU"/>
        </w:rPr>
        <w:t>для целей бюджетного учета</w:t>
      </w:r>
    </w:p>
    <w:p w:rsidR="00456991" w:rsidRDefault="00456991" w:rsidP="00BD34C1">
      <w:pPr>
        <w:pStyle w:val="a7"/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Утвержденный Постановлением  12.03.2019  № 97-п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6991" w:rsidRDefault="00456991" w:rsidP="00BD34C1">
      <w:pPr>
        <w:pStyle w:val="a7"/>
        <w:shd w:val="clear" w:color="auto" w:fill="FFFFFF"/>
        <w:spacing w:after="30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seq1194896"/>
      <w:bookmarkEnd w:id="1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передачи документов бухгалтерского учета и дел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 смене начальника отдела учета и отчетности. 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seq1406095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bookmarkEnd w:id="2"/>
      <w:r w:rsidRPr="00BD34C1">
        <w:rPr>
          <w:rFonts w:ascii="Times New Roman" w:hAnsi="Times New Roman"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передачи документов и дел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eq1211593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1.1.</w:t>
      </w:r>
      <w:bookmarkEnd w:id="3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Основанием для передачи докуме</w:t>
      </w:r>
      <w:r>
        <w:rPr>
          <w:rFonts w:ascii="Times New Roman" w:hAnsi="Times New Roman"/>
          <w:sz w:val="28"/>
          <w:szCs w:val="28"/>
          <w:lang w:eastAsia="ru-RU"/>
        </w:rPr>
        <w:t>нтов и дел является распоряжение</w:t>
      </w:r>
      <w:r w:rsidRPr="00BD34C1">
        <w:rPr>
          <w:rFonts w:ascii="Times New Roman" w:hAnsi="Times New Roman"/>
          <w:sz w:val="28"/>
          <w:szCs w:val="28"/>
          <w:lang w:eastAsia="ru-RU"/>
        </w:rPr>
        <w:t xml:space="preserve"> об освобождении от должности </w:t>
      </w:r>
      <w:r>
        <w:rPr>
          <w:rFonts w:ascii="Times New Roman" w:hAnsi="Times New Roman"/>
          <w:sz w:val="28"/>
          <w:szCs w:val="28"/>
          <w:lang w:eastAsia="ru-RU"/>
        </w:rPr>
        <w:t>начальника отдела учета и отчетности</w:t>
      </w:r>
      <w:r w:rsidRPr="00BD34C1">
        <w:rPr>
          <w:rFonts w:ascii="Times New Roman" w:hAnsi="Times New Roman"/>
          <w:sz w:val="28"/>
          <w:szCs w:val="28"/>
          <w:lang w:eastAsia="ru-RU"/>
        </w:rPr>
        <w:t>.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eq1211594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1.2.</w:t>
      </w:r>
      <w:bookmarkEnd w:id="4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При возникновении основания</w:t>
      </w:r>
      <w:r>
        <w:rPr>
          <w:rFonts w:ascii="Times New Roman" w:hAnsi="Times New Roman"/>
          <w:sz w:val="28"/>
          <w:szCs w:val="28"/>
          <w:lang w:eastAsia="ru-RU"/>
        </w:rPr>
        <w:t>, названного в п. 1.1, издается распоряжение</w:t>
      </w:r>
      <w:r w:rsidRPr="00BD34C1">
        <w:rPr>
          <w:rFonts w:ascii="Times New Roman" w:hAnsi="Times New Roman"/>
          <w:sz w:val="28"/>
          <w:szCs w:val="28"/>
          <w:lang w:eastAsia="ru-RU"/>
        </w:rPr>
        <w:t> о передаче документов и дел. В нем указываются: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а) лицо, передающее документы и дела;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б) лицо, которому передаются документы и дела;</w:t>
      </w:r>
    </w:p>
    <w:p w:rsidR="00456991" w:rsidRPr="00BD34C1" w:rsidRDefault="00456991" w:rsidP="00BD34C1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в) дата передачи документов и дел и время начала, и предельный срок такой передачи;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г) состав комиссии, создаваемой для передачи документов и дел (далее - комиссия);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5" w:name="seq1406096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bookmarkEnd w:id="5"/>
      <w:r w:rsidRPr="00BD34C1">
        <w:rPr>
          <w:rFonts w:ascii="Times New Roman" w:hAnsi="Times New Roman"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Порядок передачи документов и дел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eq1245096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2.1.</w:t>
      </w:r>
      <w:bookmarkEnd w:id="6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Передача документов и дел начинается с проведения инвентаризации.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eq1253449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2.2.</w:t>
      </w:r>
      <w:bookmarkEnd w:id="7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Инвентаризации подлежит все имущество, которое закреплено за лицом, передающим дела и документы.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eq1261802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2.3.</w:t>
      </w:r>
      <w:bookmarkEnd w:id="8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 </w:t>
      </w:r>
      <w:hyperlink r:id="rId18" w:anchor="seq590961" w:history="1">
        <w:r w:rsidRPr="00BD34C1">
          <w:rPr>
            <w:rFonts w:ascii="Times New Roman" w:hAnsi="Times New Roman"/>
            <w:color w:val="1482D7"/>
            <w:sz w:val="28"/>
            <w:szCs w:val="28"/>
            <w:u w:val="single"/>
            <w:lang w:eastAsia="ru-RU"/>
          </w:rPr>
          <w:t>8</w:t>
        </w:r>
      </w:hyperlink>
      <w:r w:rsidRPr="00BD34C1">
        <w:rPr>
          <w:rFonts w:ascii="Times New Roman" w:hAnsi="Times New Roman"/>
          <w:sz w:val="28"/>
          <w:szCs w:val="28"/>
          <w:lang w:eastAsia="ru-RU"/>
        </w:rPr>
        <w:t> к Учетной политике.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eq1270191"/>
      <w:r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bookmarkEnd w:id="9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Непосредственно при передаче дел и документов осуществляются следующие действия: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учредительные, регистрационные и иные документы;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документы учетной политики;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бюджетную и налоговую отчетность;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акты ревизий и проверок;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план-график закупок;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бланки строгой отчетности;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lastRenderedPageBreak/>
        <w:t>- материалы о недостачах и хищениях, переданные и не переданные в правоохранительные органы;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регистры налогового учета;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договоры с контрагентами;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акты сверки расчетов с налоговыми органами, контрагентами;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первичные (сводные) учетные документы;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книгу покупок, книгу продаж, журналы регистрации счетов-фактур;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- иные документы;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eq1312449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2.5.</w:t>
      </w:r>
      <w:bookmarkEnd w:id="10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eq1304010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2.6.</w:t>
      </w:r>
      <w:bookmarkEnd w:id="11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eq1312450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2.7.</w:t>
      </w:r>
      <w:bookmarkEnd w:id="12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eq1320889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2.8.</w:t>
      </w:r>
      <w:bookmarkEnd w:id="13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</w:p>
    <w:p w:rsidR="00456991" w:rsidRPr="0053610C" w:rsidRDefault="00456991" w:rsidP="0053610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eq1329328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2.9.</w:t>
      </w:r>
      <w:bookmarkEnd w:id="14"/>
      <w:r w:rsidRPr="00BD34C1">
        <w:rPr>
          <w:rFonts w:ascii="Times New Roman" w:hAnsi="Times New Roman"/>
          <w:b/>
          <w:bCs/>
          <w:sz w:val="28"/>
          <w:szCs w:val="28"/>
          <w:lang w:eastAsia="ru-RU"/>
        </w:rPr>
        <w:t> </w:t>
      </w:r>
      <w:r w:rsidRPr="00BD34C1">
        <w:rPr>
          <w:rFonts w:ascii="Times New Roman" w:hAnsi="Times New Roman"/>
          <w:sz w:val="28"/>
          <w:szCs w:val="28"/>
          <w:lang w:eastAsia="ru-RU"/>
        </w:rPr>
        <w:t xml:space="preserve">Каждое из лиц, подписывающих акт, имеет право внести в него все дополнения (примечания), которые сочтет нужным, а также привести </w:t>
      </w:r>
      <w:r w:rsidRPr="00BD34C1">
        <w:rPr>
          <w:rFonts w:ascii="Times New Roman" w:hAnsi="Times New Roman"/>
          <w:sz w:val="28"/>
          <w:szCs w:val="28"/>
          <w:lang w:eastAsia="ru-RU"/>
        </w:rPr>
        <w:lastRenderedPageBreak/>
        <w:t>рекомендации и предложения. Все дополнения, примечания, рекомендации и предложения излага</w:t>
      </w:r>
      <w:r>
        <w:rPr>
          <w:rFonts w:ascii="Times New Roman" w:hAnsi="Times New Roman"/>
          <w:sz w:val="28"/>
          <w:szCs w:val="28"/>
          <w:lang w:eastAsia="ru-RU"/>
        </w:rPr>
        <w:t>ются в самом акт.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6991" w:rsidRDefault="00456991" w:rsidP="0049038C">
      <w:pPr>
        <w:pStyle w:val="a7"/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 xml:space="preserve">Приложение 1 </w:t>
      </w:r>
    </w:p>
    <w:p w:rsidR="00456991" w:rsidRDefault="00456991" w:rsidP="0049038C">
      <w:pPr>
        <w:pStyle w:val="a7"/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к Порядку передачи документов бухгалтерского учета и дел</w:t>
      </w:r>
    </w:p>
    <w:p w:rsidR="00456991" w:rsidRPr="00BD34C1" w:rsidRDefault="00456991" w:rsidP="0049038C">
      <w:pPr>
        <w:pStyle w:val="a7"/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6991" w:rsidRPr="00BD34C1" w:rsidRDefault="00456991" w:rsidP="00361FC2">
      <w:pPr>
        <w:pStyle w:val="a7"/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BD34C1">
        <w:rPr>
          <w:rFonts w:ascii="Times New Roman" w:hAnsi="Times New Roman"/>
          <w:sz w:val="28"/>
          <w:szCs w:val="28"/>
          <w:lang w:eastAsia="ru-RU"/>
        </w:rPr>
        <w:t>АКТ</w:t>
      </w:r>
    </w:p>
    <w:p w:rsidR="00456991" w:rsidRPr="00BD34C1" w:rsidRDefault="00456991" w:rsidP="00361FC2">
      <w:pPr>
        <w:pStyle w:val="a7"/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BD34C1">
        <w:rPr>
          <w:rFonts w:ascii="Times New Roman" w:hAnsi="Times New Roman"/>
          <w:sz w:val="28"/>
          <w:szCs w:val="28"/>
          <w:lang w:eastAsia="ru-RU"/>
        </w:rPr>
        <w:t>приема-передачи документов и дел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97"/>
        <w:gridCol w:w="4351"/>
      </w:tblGrid>
      <w:tr w:rsidR="00456991" w:rsidRPr="008A7C5D" w:rsidTr="00F958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i/>
                <w:iCs/>
                <w:color w:val="808080"/>
                <w:sz w:val="28"/>
                <w:szCs w:val="28"/>
                <w:lang w:eastAsia="ru-RU"/>
              </w:rPr>
              <w:t>        (место подписания акта)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Pr="00BD34C1">
              <w:rPr>
                <w:rFonts w:ascii="Times New Roman" w:hAnsi="Times New Roman"/>
                <w:i/>
                <w:iCs/>
                <w:color w:val="808080"/>
                <w:sz w:val="28"/>
                <w:szCs w:val="28"/>
                <w:lang w:eastAsia="ru-RU"/>
              </w:rPr>
              <w:t>       </w:t>
            </w: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" </w:t>
            </w:r>
            <w:r w:rsidRPr="00BD34C1">
              <w:rPr>
                <w:rFonts w:ascii="Times New Roman" w:hAnsi="Times New Roman"/>
                <w:i/>
                <w:iCs/>
                <w:color w:val="808080"/>
                <w:sz w:val="28"/>
                <w:szCs w:val="28"/>
                <w:lang w:eastAsia="ru-RU"/>
              </w:rPr>
              <w:t>                     </w:t>
            </w: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20</w:t>
            </w:r>
            <w:r w:rsidRPr="00BD34C1">
              <w:rPr>
                <w:rFonts w:ascii="Times New Roman" w:hAnsi="Times New Roman"/>
                <w:i/>
                <w:iCs/>
                <w:color w:val="808080"/>
                <w:sz w:val="28"/>
                <w:szCs w:val="28"/>
                <w:lang w:eastAsia="ru-RU"/>
              </w:rPr>
              <w:t>       </w:t>
            </w: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Мы, нижеподписавшиеся: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(должность, Ф.И.О.)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- сдающий документы и дела,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(должность, Ф.И.О.)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- принимающий документы и дела,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члены комиссии, созданной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(вид документа – приказ, распоряжение и т.п.)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(должность руководителя)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от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№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(должность, Ф.И.О.)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- председатель комиссии,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(должность, Ф.И.О.)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- член комиссии,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(должность, Ф.И.О.)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- член комиссии,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представитель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(должность, Ф.И.О.)        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составили настоящий акт о том, что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(должность, фамилия, инициалы сдающего в творительном падеже)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(должность, фамилия, инициалы принимающего в дательном падеже)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переданы: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1. Следующие документы и сведения: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4"/>
        <w:gridCol w:w="6840"/>
        <w:gridCol w:w="1924"/>
      </w:tblGrid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56991" w:rsidRPr="008A7C5D" w:rsidTr="00F9586A">
        <w:trPr>
          <w:trHeight w:val="49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rPr>
          <w:trHeight w:val="3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2. Следующая информация в электронном виде: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6315"/>
        <w:gridCol w:w="2260"/>
      </w:tblGrid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Описание переданной информации </w:t>
            </w: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в электронном виде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rPr>
          <w:trHeight w:val="40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3. Следующие электронные носители, необходимые для работы: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08"/>
        <w:gridCol w:w="6218"/>
        <w:gridCol w:w="2322"/>
      </w:tblGrid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Описание электронных носителей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4. Ключи от сейфов: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(точное описание сейфов и мест их расположения)    </w:t>
      </w:r>
      <w:r w:rsidRPr="00BD34C1">
        <w:rPr>
          <w:rFonts w:ascii="Times New Roman" w:hAnsi="Times New Roman"/>
          <w:sz w:val="28"/>
          <w:szCs w:val="28"/>
          <w:lang w:eastAsia="ru-RU"/>
        </w:rPr>
        <w:t>.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5. Следующие печати и штампы: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21"/>
        <w:gridCol w:w="5905"/>
        <w:gridCol w:w="2522"/>
      </w:tblGrid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Описание печатей и штампов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6. Следующие чековые книжки: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1"/>
        <w:gridCol w:w="4540"/>
        <w:gridCol w:w="4537"/>
      </w:tblGrid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учреждения, выдавшего чековую книжку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Номера неиспользованных чеков в чековой книжке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991" w:rsidRPr="008A7C5D" w:rsidTr="00F9586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6991" w:rsidRPr="00BD34C1" w:rsidRDefault="00456991" w:rsidP="00983086">
            <w:pPr>
              <w:spacing w:before="300"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34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</w:t>
      </w:r>
      <w:r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 xml:space="preserve">                                 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sz w:val="28"/>
          <w:szCs w:val="28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F9586A">
        <w:rPr>
          <w:rFonts w:ascii="Times New Roman" w:hAnsi="Times New Roman"/>
          <w:sz w:val="28"/>
          <w:szCs w:val="28"/>
          <w:lang w:eastAsia="ru-RU"/>
        </w:rPr>
        <w:t>.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sz w:val="28"/>
          <w:szCs w:val="28"/>
          <w:lang w:eastAsia="ru-RU"/>
        </w:rPr>
        <w:t>Передающим лицом даны следующие пояснения: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F9586A">
        <w:rPr>
          <w:rFonts w:ascii="Times New Roman" w:hAnsi="Times New Roman"/>
          <w:sz w:val="28"/>
          <w:szCs w:val="28"/>
          <w:lang w:eastAsia="ru-RU"/>
        </w:rPr>
        <w:t>.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sz w:val="28"/>
          <w:szCs w:val="28"/>
          <w:lang w:eastAsia="ru-RU"/>
        </w:rPr>
        <w:t>Дополнения (примечания, рекомендации, предложения):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</w:t>
      </w:r>
      <w:r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</w:t>
      </w:r>
      <w:r w:rsidRPr="00F9586A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 xml:space="preserve">      </w:t>
      </w:r>
      <w:r w:rsidRPr="00F9586A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lastRenderedPageBreak/>
        <w:t>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F9586A">
        <w:rPr>
          <w:rFonts w:ascii="Times New Roman" w:hAnsi="Times New Roman"/>
          <w:sz w:val="28"/>
          <w:szCs w:val="28"/>
          <w:lang w:eastAsia="ru-RU"/>
        </w:rPr>
        <w:t>.</w:t>
      </w:r>
    </w:p>
    <w:p w:rsidR="00456991" w:rsidRPr="00F9586A" w:rsidRDefault="00456991" w:rsidP="00F9586A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9586A">
        <w:rPr>
          <w:rFonts w:ascii="Times New Roman" w:hAnsi="Times New Roman"/>
          <w:sz w:val="28"/>
          <w:szCs w:val="28"/>
          <w:lang w:eastAsia="ru-RU"/>
        </w:rPr>
        <w:t>Приложения к акту: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1. 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2. 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3. 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Подписи лиц, составивших акт: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Передал: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(должность)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(должность)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(должность)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(должность)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(должность)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Представитель: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(должность)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Оборот последнего листа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В настоящем акте пронумеровано, прошнуровано и заверено печатью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листов.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(должность председателя комиссии)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(подпись)          </w:t>
      </w:r>
      <w:r w:rsidRPr="00BD34C1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(фамилия, инициалы)    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"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" 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       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 20</w:t>
      </w:r>
      <w:r w:rsidRPr="00BD34C1">
        <w:rPr>
          <w:rFonts w:ascii="Times New Roman" w:hAnsi="Times New Roman"/>
          <w:i/>
          <w:iCs/>
          <w:color w:val="808080"/>
          <w:sz w:val="28"/>
          <w:szCs w:val="28"/>
          <w:lang w:eastAsia="ru-RU"/>
        </w:rPr>
        <w:t>       </w:t>
      </w:r>
      <w:r w:rsidRPr="00BD34C1">
        <w:rPr>
          <w:rFonts w:ascii="Times New Roman" w:hAnsi="Times New Roman"/>
          <w:sz w:val="28"/>
          <w:szCs w:val="28"/>
          <w:lang w:eastAsia="ru-RU"/>
        </w:rPr>
        <w:t>г.</w:t>
      </w:r>
    </w:p>
    <w:p w:rsidR="00456991" w:rsidRPr="00BD34C1" w:rsidRDefault="00456991" w:rsidP="00983086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4C1">
        <w:rPr>
          <w:rFonts w:ascii="Times New Roman" w:hAnsi="Times New Roman"/>
          <w:sz w:val="28"/>
          <w:szCs w:val="28"/>
          <w:lang w:eastAsia="ru-RU"/>
        </w:rPr>
        <w:t>М.П.</w:t>
      </w:r>
    </w:p>
    <w:p w:rsidR="00456991" w:rsidRPr="00BD34C1" w:rsidRDefault="00456991">
      <w:pPr>
        <w:rPr>
          <w:rFonts w:ascii="Times New Roman" w:hAnsi="Times New Roman"/>
          <w:sz w:val="28"/>
          <w:szCs w:val="28"/>
        </w:rPr>
      </w:pPr>
    </w:p>
    <w:sectPr w:rsidR="00456991" w:rsidRPr="00BD34C1" w:rsidSect="00F9586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4B3"/>
    <w:multiLevelType w:val="hybridMultilevel"/>
    <w:tmpl w:val="4D60C4C8"/>
    <w:lvl w:ilvl="0" w:tplc="7B4812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D414FA"/>
    <w:multiLevelType w:val="multilevel"/>
    <w:tmpl w:val="DD4422F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79C13AC7"/>
    <w:multiLevelType w:val="multilevel"/>
    <w:tmpl w:val="5A7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7B0"/>
    <w:rsid w:val="002B176E"/>
    <w:rsid w:val="003045EB"/>
    <w:rsid w:val="00336964"/>
    <w:rsid w:val="00361FC2"/>
    <w:rsid w:val="00456991"/>
    <w:rsid w:val="0049038C"/>
    <w:rsid w:val="0053610C"/>
    <w:rsid w:val="00550EF2"/>
    <w:rsid w:val="0055361C"/>
    <w:rsid w:val="0058595C"/>
    <w:rsid w:val="005A30AC"/>
    <w:rsid w:val="00610536"/>
    <w:rsid w:val="00634668"/>
    <w:rsid w:val="006D6D68"/>
    <w:rsid w:val="00765D44"/>
    <w:rsid w:val="00796AF5"/>
    <w:rsid w:val="008547CE"/>
    <w:rsid w:val="008924CD"/>
    <w:rsid w:val="008A7C5D"/>
    <w:rsid w:val="00983086"/>
    <w:rsid w:val="00A632B6"/>
    <w:rsid w:val="00AF0319"/>
    <w:rsid w:val="00BB35C0"/>
    <w:rsid w:val="00BD34C1"/>
    <w:rsid w:val="00D367B0"/>
    <w:rsid w:val="00DA1770"/>
    <w:rsid w:val="00E96615"/>
    <w:rsid w:val="00F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547CE"/>
    <w:rPr>
      <w:rFonts w:cs="Times New Roman"/>
    </w:rPr>
  </w:style>
  <w:style w:type="character" w:styleId="a3">
    <w:name w:val="Hyperlink"/>
    <w:uiPriority w:val="99"/>
    <w:semiHidden/>
    <w:rsid w:val="008547C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B1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efseq">
    <w:name w:val="aref_seq"/>
    <w:uiPriority w:val="99"/>
    <w:rsid w:val="002B176E"/>
    <w:rPr>
      <w:rFonts w:cs="Times New Roman"/>
    </w:rPr>
  </w:style>
  <w:style w:type="character" w:customStyle="1" w:styleId="refseq">
    <w:name w:val="ref_seq"/>
    <w:uiPriority w:val="99"/>
    <w:rsid w:val="002B176E"/>
    <w:rPr>
      <w:rFonts w:cs="Times New Roman"/>
    </w:rPr>
  </w:style>
  <w:style w:type="character" w:styleId="a5">
    <w:name w:val="Emphasis"/>
    <w:uiPriority w:val="99"/>
    <w:qFormat/>
    <w:rsid w:val="002B176E"/>
    <w:rPr>
      <w:rFonts w:cs="Times New Roman"/>
      <w:i/>
      <w:iCs/>
    </w:rPr>
  </w:style>
  <w:style w:type="character" w:styleId="a6">
    <w:name w:val="Strong"/>
    <w:uiPriority w:val="99"/>
    <w:qFormat/>
    <w:rsid w:val="00983086"/>
    <w:rPr>
      <w:rFonts w:cs="Times New Roman"/>
      <w:b/>
      <w:bCs/>
    </w:rPr>
  </w:style>
  <w:style w:type="character" w:customStyle="1" w:styleId="placeholder">
    <w:name w:val="placeholder"/>
    <w:uiPriority w:val="99"/>
    <w:rsid w:val="00983086"/>
    <w:rPr>
      <w:rFonts w:cs="Times New Roman"/>
    </w:rPr>
  </w:style>
  <w:style w:type="paragraph" w:styleId="a7">
    <w:name w:val="List Paragraph"/>
    <w:basedOn w:val="a"/>
    <w:uiPriority w:val="99"/>
    <w:qFormat/>
    <w:rsid w:val="00983086"/>
    <w:pPr>
      <w:ind w:left="720"/>
      <w:contextualSpacing/>
    </w:pPr>
  </w:style>
  <w:style w:type="paragraph" w:customStyle="1" w:styleId="ConsPlusNormal">
    <w:name w:val="ConsPlusNormal"/>
    <w:uiPriority w:val="99"/>
    <w:rsid w:val="00796AF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8">
    <w:name w:val="Table Grid"/>
    <w:basedOn w:val="a1"/>
    <w:uiPriority w:val="99"/>
    <w:rsid w:val="00796A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BB35C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AEB098"/>
                        <w:bottom w:val="single" w:sz="6" w:space="0" w:color="AEB098"/>
                        <w:right w:val="single" w:sz="6" w:space="0" w:color="AEB098"/>
                      </w:divBdr>
                      <w:divsChild>
                        <w:div w:id="2932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2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1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1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15677">
                                                                                  <w:marLeft w:val="57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19"/>
                                                                                    <w:left w:val="single" w:sz="24" w:space="0" w:color="E5E619"/>
                                                                                    <w:bottom w:val="single" w:sz="6" w:space="0" w:color="E5E619"/>
                                                                                    <w:right w:val="single" w:sz="6" w:space="0" w:color="E5E61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21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321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21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1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1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21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1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21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2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1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1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1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5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2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21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2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2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2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2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13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18" Type="http://schemas.openxmlformats.org/officeDocument/2006/relationships/hyperlink" Target="https://cpcd.consultant.ru/cpcd4/Production_JS_2.20.50.83e26e1c_1/ap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12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17" Type="http://schemas.openxmlformats.org/officeDocument/2006/relationships/hyperlink" Target="consultantplus://offline/ref=9D8161AA42813FF2C5CEF20345109A18045E915A4D486592BF0D91A3DD55F1698951AD87C989255BD5FBE092C10199654393C4422B6702763792395C742FD49F8DDA4C43BB2402B727F63A412BD403E6C2A5E60AF36CdFR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pcd.consultant.ru/cpcd4/Production_JS_2.20.50.83e26e1c_1/app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11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10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14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2378</Words>
  <Characters>13556</Characters>
  <Application>Microsoft Office Word</Application>
  <DocSecurity>0</DocSecurity>
  <Lines>112</Lines>
  <Paragraphs>31</Paragraphs>
  <ScaleCrop>false</ScaleCrop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 бухгалтер</dc:creator>
  <cp:keywords/>
  <dc:description/>
  <cp:lastModifiedBy>S304</cp:lastModifiedBy>
  <cp:revision>16</cp:revision>
  <cp:lastPrinted>2019-03-13T03:10:00Z</cp:lastPrinted>
  <dcterms:created xsi:type="dcterms:W3CDTF">2019-03-11T06:50:00Z</dcterms:created>
  <dcterms:modified xsi:type="dcterms:W3CDTF">2019-03-14T00:46:00Z</dcterms:modified>
</cp:coreProperties>
</file>