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593" w:rsidRDefault="00117593" w:rsidP="00117593">
      <w:pPr>
        <w:autoSpaceDE w:val="0"/>
        <w:autoSpaceDN w:val="0"/>
        <w:adjustRightInd w:val="0"/>
        <w:jc w:val="right"/>
        <w:outlineLvl w:val="0"/>
      </w:pPr>
      <w:r>
        <w:t>Приложение №1</w:t>
      </w:r>
    </w:p>
    <w:p w:rsidR="00117593" w:rsidRDefault="00117593" w:rsidP="00117593">
      <w:pPr>
        <w:autoSpaceDE w:val="0"/>
        <w:autoSpaceDN w:val="0"/>
        <w:adjustRightInd w:val="0"/>
        <w:jc w:val="right"/>
        <w:outlineLvl w:val="0"/>
      </w:pPr>
      <w:r>
        <w:t>к постановлению администрации                                                                                           Ермаковского района</w:t>
      </w:r>
    </w:p>
    <w:p w:rsidR="00117593" w:rsidRDefault="00117593" w:rsidP="00117593">
      <w:pPr>
        <w:autoSpaceDE w:val="0"/>
        <w:autoSpaceDN w:val="0"/>
        <w:adjustRightInd w:val="0"/>
        <w:jc w:val="center"/>
        <w:outlineLvl w:val="0"/>
      </w:pPr>
      <w:r>
        <w:t xml:space="preserve">                                                                                  от «30» </w:t>
      </w:r>
      <w:proofErr w:type="spellStart"/>
      <w:r>
        <w:t>_октября</w:t>
      </w:r>
      <w:proofErr w:type="spellEnd"/>
      <w:r>
        <w:t xml:space="preserve">  2015 г. № 736-п</w:t>
      </w:r>
      <w:r w:rsidRPr="00FD7F87">
        <w:t xml:space="preserve">                                                     </w:t>
      </w:r>
      <w:r>
        <w:t xml:space="preserve">               </w:t>
      </w:r>
      <w:r w:rsidRPr="00FD7F87">
        <w:t xml:space="preserve">  </w:t>
      </w:r>
    </w:p>
    <w:p w:rsidR="00117593" w:rsidRDefault="00117593" w:rsidP="00117593">
      <w:pPr>
        <w:autoSpaceDE w:val="0"/>
        <w:autoSpaceDN w:val="0"/>
        <w:adjustRightInd w:val="0"/>
        <w:jc w:val="right"/>
        <w:outlineLvl w:val="0"/>
      </w:pPr>
      <w:r w:rsidRPr="00FD7F87">
        <w:t xml:space="preserve">Приложение </w:t>
      </w:r>
      <w:r>
        <w:t xml:space="preserve"> </w:t>
      </w:r>
    </w:p>
    <w:p w:rsidR="00117593" w:rsidRDefault="00117593" w:rsidP="00117593">
      <w:pPr>
        <w:autoSpaceDE w:val="0"/>
        <w:autoSpaceDN w:val="0"/>
        <w:adjustRightInd w:val="0"/>
        <w:jc w:val="right"/>
        <w:outlineLvl w:val="0"/>
      </w:pPr>
      <w:r w:rsidRPr="00FD7F87">
        <w:t xml:space="preserve">к постановлению администрации </w:t>
      </w:r>
    </w:p>
    <w:p w:rsidR="00117593" w:rsidRPr="00FD7F87" w:rsidRDefault="00117593" w:rsidP="00117593">
      <w:pPr>
        <w:autoSpaceDE w:val="0"/>
        <w:autoSpaceDN w:val="0"/>
        <w:adjustRightInd w:val="0"/>
        <w:jc w:val="right"/>
        <w:outlineLvl w:val="0"/>
      </w:pPr>
      <w:r w:rsidRPr="00FD7F87">
        <w:t>Ермаковского района</w:t>
      </w:r>
    </w:p>
    <w:p w:rsidR="00117593" w:rsidRPr="000917EC" w:rsidRDefault="00117593" w:rsidP="00117593">
      <w:pPr>
        <w:autoSpaceDE w:val="0"/>
        <w:autoSpaceDN w:val="0"/>
        <w:adjustRightInd w:val="0"/>
        <w:jc w:val="right"/>
      </w:pPr>
      <w:r w:rsidRPr="00FD7F87">
        <w:t>от «</w:t>
      </w:r>
      <w:r>
        <w:t>31</w:t>
      </w:r>
      <w:r w:rsidRPr="00FD7F87">
        <w:t>»</w:t>
      </w:r>
      <w:r>
        <w:t xml:space="preserve"> октября</w:t>
      </w:r>
      <w:r w:rsidRPr="00FD7F87">
        <w:t xml:space="preserve"> 2014 г. №</w:t>
      </w:r>
      <w:r>
        <w:t>718-п</w:t>
      </w:r>
      <w:r w:rsidRPr="00FD7F87">
        <w:rPr>
          <w:b/>
        </w:rPr>
        <w:t xml:space="preserve">        </w:t>
      </w:r>
    </w:p>
    <w:p w:rsidR="00117593" w:rsidRDefault="00117593" w:rsidP="00117593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17593" w:rsidRDefault="00117593" w:rsidP="00117593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17593" w:rsidRPr="00FD7F87" w:rsidRDefault="00117593" w:rsidP="00117593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D7F87">
        <w:rPr>
          <w:rFonts w:ascii="Times New Roman" w:hAnsi="Times New Roman" w:cs="Times New Roman"/>
          <w:b w:val="0"/>
          <w:sz w:val="24"/>
          <w:szCs w:val="24"/>
        </w:rPr>
        <w:t>Муниципальная программа Ермаковского района</w:t>
      </w:r>
    </w:p>
    <w:p w:rsidR="00117593" w:rsidRPr="00FD7F87" w:rsidRDefault="00117593" w:rsidP="0011759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D7F87">
        <w:rPr>
          <w:rFonts w:ascii="Times New Roman" w:hAnsi="Times New Roman" w:cs="Times New Roman"/>
          <w:b w:val="0"/>
          <w:sz w:val="24"/>
          <w:szCs w:val="24"/>
        </w:rPr>
        <w:t xml:space="preserve">«Развитие культуры» </w:t>
      </w:r>
    </w:p>
    <w:p w:rsidR="00117593" w:rsidRPr="00FD7F87" w:rsidRDefault="00117593" w:rsidP="0011759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D7F87">
        <w:rPr>
          <w:rFonts w:ascii="Times New Roman" w:hAnsi="Times New Roman" w:cs="Times New Roman"/>
          <w:sz w:val="24"/>
          <w:szCs w:val="24"/>
        </w:rPr>
        <w:t xml:space="preserve"> </w:t>
      </w:r>
      <w:r w:rsidRPr="00FD7F87">
        <w:rPr>
          <w:rFonts w:ascii="Times New Roman" w:hAnsi="Times New Roman" w:cs="Times New Roman"/>
          <w:b w:val="0"/>
          <w:sz w:val="24"/>
          <w:szCs w:val="24"/>
        </w:rPr>
        <w:t xml:space="preserve">1. Паспорт муниципальной программы 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6300"/>
      </w:tblGrid>
      <w:tr w:rsidR="00117593" w:rsidRPr="00FD7F87" w:rsidTr="00576A2D">
        <w:tc>
          <w:tcPr>
            <w:tcW w:w="3060" w:type="dxa"/>
          </w:tcPr>
          <w:p w:rsidR="00117593" w:rsidRPr="00FD7F87" w:rsidRDefault="00117593" w:rsidP="00576A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7F8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300" w:type="dxa"/>
          </w:tcPr>
          <w:p w:rsidR="00117593" w:rsidRPr="00FD7F87" w:rsidRDefault="00117593" w:rsidP="00576A2D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7F8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муниципальная программа Ермаковского района </w:t>
            </w:r>
          </w:p>
          <w:p w:rsidR="00117593" w:rsidRPr="00FD7F87" w:rsidRDefault="00117593" w:rsidP="00576A2D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7F87">
              <w:rPr>
                <w:rFonts w:ascii="Times New Roman" w:hAnsi="Times New Roman" w:cs="Times New Roman"/>
                <w:b w:val="0"/>
                <w:sz w:val="24"/>
                <w:szCs w:val="24"/>
              </w:rPr>
              <w:t>«Развитие культуры» (далее – Программа)</w:t>
            </w:r>
          </w:p>
        </w:tc>
      </w:tr>
      <w:tr w:rsidR="00117593" w:rsidRPr="00FD7F87" w:rsidTr="00576A2D">
        <w:tc>
          <w:tcPr>
            <w:tcW w:w="3060" w:type="dxa"/>
          </w:tcPr>
          <w:p w:rsidR="00117593" w:rsidRPr="00FD7F87" w:rsidRDefault="00117593" w:rsidP="00576A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7F87"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300" w:type="dxa"/>
          </w:tcPr>
          <w:p w:rsidR="00117593" w:rsidRPr="00FD7F87" w:rsidRDefault="00117593" w:rsidP="00576A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7F87">
              <w:rPr>
                <w:rFonts w:ascii="Times New Roman" w:hAnsi="Times New Roman" w:cs="Times New Roman"/>
                <w:sz w:val="24"/>
                <w:szCs w:val="24"/>
              </w:rPr>
              <w:t xml:space="preserve">статья 179 Бюджетного кодекса Российской Федерации;  </w:t>
            </w:r>
          </w:p>
          <w:p w:rsidR="00117593" w:rsidRPr="00FD7F87" w:rsidRDefault="00117593" w:rsidP="00576A2D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7F8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постановление администрации Ермаковского района от 05.08.2013 № 516-п «Об утверждении Порядка принятия решений о разработке муниципальных программ Ермаковского района, их формировании и реализации» </w:t>
            </w:r>
            <w:r w:rsidRPr="00E605E0">
              <w:rPr>
                <w:rFonts w:ascii="Times New Roman" w:hAnsi="Times New Roman" w:cs="Times New Roman"/>
                <w:b w:val="0"/>
                <w:sz w:val="24"/>
                <w:szCs w:val="24"/>
              </w:rPr>
              <w:t>(в редакции постановления от 10.12.2014 № 1001-п)</w:t>
            </w:r>
          </w:p>
        </w:tc>
      </w:tr>
      <w:tr w:rsidR="00117593" w:rsidRPr="00FD7F87" w:rsidTr="00576A2D">
        <w:tc>
          <w:tcPr>
            <w:tcW w:w="3060" w:type="dxa"/>
          </w:tcPr>
          <w:p w:rsidR="00117593" w:rsidRPr="00FD7F87" w:rsidRDefault="00117593" w:rsidP="00576A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7F8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6300" w:type="dxa"/>
          </w:tcPr>
          <w:p w:rsidR="00117593" w:rsidRPr="00FD7F87" w:rsidRDefault="00117593" w:rsidP="00576A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7F87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Ермаковского района</w:t>
            </w:r>
          </w:p>
        </w:tc>
      </w:tr>
      <w:tr w:rsidR="00117593" w:rsidRPr="00FD7F87" w:rsidTr="00576A2D">
        <w:tc>
          <w:tcPr>
            <w:tcW w:w="3060" w:type="dxa"/>
          </w:tcPr>
          <w:p w:rsidR="00117593" w:rsidRPr="00FD7F87" w:rsidRDefault="00117593" w:rsidP="00576A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7F87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Программы    </w:t>
            </w:r>
          </w:p>
        </w:tc>
        <w:tc>
          <w:tcPr>
            <w:tcW w:w="6300" w:type="dxa"/>
          </w:tcPr>
          <w:p w:rsidR="00117593" w:rsidRPr="00FD7F87" w:rsidRDefault="00117593" w:rsidP="00576A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7F87">
              <w:rPr>
                <w:rFonts w:ascii="Times New Roman" w:hAnsi="Times New Roman" w:cs="Times New Roman"/>
                <w:sz w:val="24"/>
                <w:szCs w:val="24"/>
              </w:rPr>
              <w:t>Администрация Ермаковского района;</w:t>
            </w:r>
          </w:p>
          <w:p w:rsidR="00117593" w:rsidRPr="00FD7F87" w:rsidRDefault="00117593" w:rsidP="00576A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7F87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культуры;</w:t>
            </w:r>
          </w:p>
          <w:p w:rsidR="00117593" w:rsidRPr="00FD7F87" w:rsidRDefault="00117593" w:rsidP="00576A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7F87"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советов.</w:t>
            </w:r>
          </w:p>
        </w:tc>
      </w:tr>
      <w:tr w:rsidR="00117593" w:rsidRPr="00FD7F87" w:rsidTr="00576A2D">
        <w:tc>
          <w:tcPr>
            <w:tcW w:w="3060" w:type="dxa"/>
          </w:tcPr>
          <w:p w:rsidR="00117593" w:rsidRPr="00FD7F87" w:rsidRDefault="00117593" w:rsidP="00576A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7F87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300" w:type="dxa"/>
          </w:tcPr>
          <w:p w:rsidR="00117593" w:rsidRPr="00FD7F87" w:rsidRDefault="00117593" w:rsidP="00576A2D">
            <w:pPr>
              <w:pStyle w:val="ConsPlusCell"/>
            </w:pPr>
            <w:r w:rsidRPr="00FD7F87">
              <w:t>подпрограмма 1 «Поддержка библиотечного дела»;</w:t>
            </w:r>
          </w:p>
          <w:p w:rsidR="00117593" w:rsidRPr="00FD7F87" w:rsidRDefault="00117593" w:rsidP="00576A2D">
            <w:pPr>
              <w:pStyle w:val="ConsPlusCell"/>
            </w:pPr>
            <w:r w:rsidRPr="00FD7F87">
              <w:t>подпрограмма 2 «Поддержка искусства и народного тво</w:t>
            </w:r>
            <w:r w:rsidRPr="00FD7F87">
              <w:t>р</w:t>
            </w:r>
            <w:r w:rsidRPr="00FD7F87">
              <w:t>чества»;</w:t>
            </w:r>
          </w:p>
          <w:p w:rsidR="00117593" w:rsidRPr="00FD7F87" w:rsidRDefault="00117593" w:rsidP="00576A2D">
            <w:pPr>
              <w:pStyle w:val="ConsPlusCell"/>
            </w:pPr>
            <w:r w:rsidRPr="00FD7F87">
              <w:t>подпрограмма 3 «Поддержка дополнительного образования детей»;</w:t>
            </w:r>
          </w:p>
          <w:p w:rsidR="00117593" w:rsidRPr="00FD7F87" w:rsidRDefault="00117593" w:rsidP="00576A2D">
            <w:pPr>
              <w:pStyle w:val="ConsPlusCell"/>
            </w:pPr>
            <w:r w:rsidRPr="00FD7F87">
              <w:t>подпрограмма 4 «Обеспечение условий реализации муниципальной програ</w:t>
            </w:r>
            <w:r w:rsidRPr="00FD7F87">
              <w:t>м</w:t>
            </w:r>
            <w:r w:rsidRPr="00FD7F87">
              <w:t>мы и прочие мероприятия»</w:t>
            </w:r>
          </w:p>
        </w:tc>
      </w:tr>
      <w:tr w:rsidR="00117593" w:rsidRPr="00FD7F87" w:rsidTr="00576A2D">
        <w:tc>
          <w:tcPr>
            <w:tcW w:w="3060" w:type="dxa"/>
          </w:tcPr>
          <w:p w:rsidR="00117593" w:rsidRPr="00FD7F87" w:rsidRDefault="00117593" w:rsidP="00576A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7F87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                 </w:t>
            </w:r>
          </w:p>
        </w:tc>
        <w:tc>
          <w:tcPr>
            <w:tcW w:w="6300" w:type="dxa"/>
          </w:tcPr>
          <w:p w:rsidR="00117593" w:rsidRPr="00FD7F87" w:rsidRDefault="00117593" w:rsidP="00576A2D">
            <w:pPr>
              <w:jc w:val="both"/>
            </w:pPr>
            <w:r w:rsidRPr="00FD7F87">
              <w:t>создание условий для развития и реализации культурного и духовного потенциала населения Ермаковского района</w:t>
            </w:r>
          </w:p>
        </w:tc>
      </w:tr>
      <w:tr w:rsidR="00117593" w:rsidRPr="00FD7F87" w:rsidTr="00576A2D">
        <w:tc>
          <w:tcPr>
            <w:tcW w:w="3060" w:type="dxa"/>
          </w:tcPr>
          <w:p w:rsidR="00117593" w:rsidRPr="00FD7F87" w:rsidRDefault="00117593" w:rsidP="00576A2D">
            <w:pPr>
              <w:pStyle w:val="ConsPlusCell"/>
            </w:pPr>
            <w:r w:rsidRPr="00FD7F87">
              <w:t xml:space="preserve">Задачи Программы               </w:t>
            </w:r>
          </w:p>
        </w:tc>
        <w:tc>
          <w:tcPr>
            <w:tcW w:w="6300" w:type="dxa"/>
          </w:tcPr>
          <w:p w:rsidR="00117593" w:rsidRPr="00FD7F87" w:rsidRDefault="00117593" w:rsidP="00576A2D">
            <w:pPr>
              <w:pStyle w:val="ConsPlusCell"/>
            </w:pPr>
            <w:r w:rsidRPr="00FD7F87">
              <w:t>задача 1 «Обеспечение доступа населения Ермаковского района к библиотечным услугам»;</w:t>
            </w:r>
          </w:p>
          <w:p w:rsidR="00117593" w:rsidRPr="00FD7F87" w:rsidRDefault="00117593" w:rsidP="00576A2D">
            <w:pPr>
              <w:pStyle w:val="ConsPlusCell"/>
              <w:rPr>
                <w:bCs/>
              </w:rPr>
            </w:pPr>
            <w:r w:rsidRPr="00FD7F87">
              <w:t>задача 2 «О</w:t>
            </w:r>
            <w:r w:rsidRPr="00FD7F87">
              <w:rPr>
                <w:bCs/>
              </w:rPr>
              <w:t xml:space="preserve">беспечение доступа населения </w:t>
            </w:r>
            <w:r w:rsidRPr="00FD7F87">
              <w:t>Ермаковского района</w:t>
            </w:r>
            <w:r w:rsidRPr="00FD7F87">
              <w:rPr>
                <w:bCs/>
              </w:rPr>
              <w:t xml:space="preserve"> к культурным благам </w:t>
            </w:r>
          </w:p>
          <w:p w:rsidR="00117593" w:rsidRPr="00FD7F87" w:rsidRDefault="00117593" w:rsidP="00576A2D">
            <w:pPr>
              <w:pStyle w:val="ConsPlusCell"/>
              <w:rPr>
                <w:bCs/>
              </w:rPr>
            </w:pPr>
            <w:r w:rsidRPr="00FD7F87">
              <w:rPr>
                <w:bCs/>
              </w:rPr>
              <w:t>и участию в культурной  жизни»;</w:t>
            </w:r>
          </w:p>
          <w:p w:rsidR="00117593" w:rsidRPr="00FD7F87" w:rsidRDefault="00117593" w:rsidP="00576A2D">
            <w:pPr>
              <w:pStyle w:val="ConsPlusCell"/>
              <w:rPr>
                <w:bCs/>
              </w:rPr>
            </w:pPr>
            <w:r w:rsidRPr="00FD7F87">
              <w:rPr>
                <w:bCs/>
              </w:rPr>
              <w:t>задача 3 «Обеспечение населения Ермаковского района качественным дополнительным образованием»;</w:t>
            </w:r>
          </w:p>
          <w:p w:rsidR="00117593" w:rsidRPr="00FD7F87" w:rsidRDefault="00117593" w:rsidP="00576A2D">
            <w:pPr>
              <w:pStyle w:val="ConsPlusCell"/>
              <w:rPr>
                <w:bCs/>
              </w:rPr>
            </w:pPr>
            <w:r w:rsidRPr="00FD7F87">
              <w:t>задача 4 «С</w:t>
            </w:r>
            <w:r w:rsidRPr="00FD7F87">
              <w:rPr>
                <w:bCs/>
              </w:rPr>
              <w:t>оздание условий для устойчивого развития отрасли «культура» в Ермаковском районе»</w:t>
            </w:r>
          </w:p>
        </w:tc>
      </w:tr>
      <w:tr w:rsidR="00117593" w:rsidRPr="00FD7F87" w:rsidTr="00576A2D">
        <w:trPr>
          <w:trHeight w:val="239"/>
        </w:trPr>
        <w:tc>
          <w:tcPr>
            <w:tcW w:w="3060" w:type="dxa"/>
          </w:tcPr>
          <w:p w:rsidR="00117593" w:rsidRPr="00FD7F87" w:rsidRDefault="00117593" w:rsidP="00576A2D">
            <w:pPr>
              <w:pStyle w:val="ConsPlusCell"/>
            </w:pPr>
            <w:r w:rsidRPr="00FD7F87">
              <w:lastRenderedPageBreak/>
              <w:t>Этапы и сроки реализации</w:t>
            </w:r>
          </w:p>
        </w:tc>
        <w:tc>
          <w:tcPr>
            <w:tcW w:w="6300" w:type="dxa"/>
          </w:tcPr>
          <w:p w:rsidR="00117593" w:rsidRPr="00FD7F87" w:rsidRDefault="00117593" w:rsidP="00576A2D">
            <w:pPr>
              <w:pStyle w:val="ConsPlusCell"/>
            </w:pPr>
            <w:r w:rsidRPr="00FD7F87">
              <w:t>2014 - 201</w:t>
            </w:r>
            <w:r>
              <w:t>8</w:t>
            </w:r>
            <w:r w:rsidRPr="00FD7F87">
              <w:t xml:space="preserve"> годы </w:t>
            </w:r>
          </w:p>
        </w:tc>
      </w:tr>
      <w:tr w:rsidR="00117593" w:rsidRPr="00FD7F87" w:rsidTr="00576A2D">
        <w:tc>
          <w:tcPr>
            <w:tcW w:w="3060" w:type="dxa"/>
          </w:tcPr>
          <w:p w:rsidR="00117593" w:rsidRPr="00FD7F87" w:rsidRDefault="00117593" w:rsidP="00576A2D">
            <w:pPr>
              <w:pStyle w:val="ConsPlusCell"/>
            </w:pPr>
            <w:r w:rsidRPr="00FD7F87">
              <w:t>Целевые показатели</w:t>
            </w:r>
          </w:p>
          <w:p w:rsidR="00117593" w:rsidRPr="00FD7F87" w:rsidRDefault="00117593" w:rsidP="00576A2D">
            <w:pPr>
              <w:pStyle w:val="ConsPlusCell"/>
            </w:pPr>
            <w:r w:rsidRPr="00FD7F87">
              <w:t xml:space="preserve">и показатели результативности Программы                       </w:t>
            </w:r>
          </w:p>
        </w:tc>
        <w:tc>
          <w:tcPr>
            <w:tcW w:w="6300" w:type="dxa"/>
          </w:tcPr>
          <w:p w:rsidR="00117593" w:rsidRPr="00FD7F87" w:rsidRDefault="00117593" w:rsidP="00576A2D">
            <w:r w:rsidRPr="00FD7F87">
              <w:t xml:space="preserve">1.удельный вес населения, участвующего в платных </w:t>
            </w:r>
            <w:proofErr w:type="spellStart"/>
            <w:r w:rsidRPr="00FD7F87">
              <w:t>культурно-досуговых</w:t>
            </w:r>
            <w:proofErr w:type="spellEnd"/>
            <w:r w:rsidRPr="00FD7F87">
              <w:t xml:space="preserve"> мероприятиях, проводимых муниципальными учр</w:t>
            </w:r>
            <w:r w:rsidRPr="00FD7F87">
              <w:t>е</w:t>
            </w:r>
            <w:r w:rsidRPr="00FD7F87">
              <w:t>ждениями культуры;</w:t>
            </w:r>
          </w:p>
          <w:p w:rsidR="00117593" w:rsidRPr="00FD7F87" w:rsidRDefault="00117593" w:rsidP="00576A2D">
            <w:r w:rsidRPr="00FD7F87">
              <w:t>2.количество экземпляров новых поступлений в библиотечные фонды общедоступных библиотек на 1 тыс. человек нас</w:t>
            </w:r>
            <w:r w:rsidRPr="00FD7F87">
              <w:t>е</w:t>
            </w:r>
            <w:r w:rsidRPr="00FD7F87">
              <w:t xml:space="preserve">ления; </w:t>
            </w:r>
          </w:p>
          <w:p w:rsidR="00117593" w:rsidRPr="00FD7F87" w:rsidRDefault="00117593" w:rsidP="00576A2D">
            <w:pPr>
              <w:rPr>
                <w:color w:val="000000"/>
              </w:rPr>
            </w:pPr>
            <w:r w:rsidRPr="00FD7F87">
              <w:t>3.доля выпускников поступившие в образовательные учреждения среднего профессионального образования  в области культуры.</w:t>
            </w:r>
          </w:p>
        </w:tc>
      </w:tr>
      <w:tr w:rsidR="00117593" w:rsidRPr="00FD7F87" w:rsidTr="00576A2D">
        <w:trPr>
          <w:trHeight w:val="1773"/>
        </w:trPr>
        <w:tc>
          <w:tcPr>
            <w:tcW w:w="3060" w:type="dxa"/>
          </w:tcPr>
          <w:p w:rsidR="00117593" w:rsidRPr="00FD7F87" w:rsidRDefault="00117593" w:rsidP="00576A2D">
            <w:pPr>
              <w:pStyle w:val="ConsPlusCell"/>
            </w:pPr>
            <w:r w:rsidRPr="00FD7F87">
              <w:t>Ресурсное обеспечение Программы</w:t>
            </w:r>
          </w:p>
        </w:tc>
        <w:tc>
          <w:tcPr>
            <w:tcW w:w="6300" w:type="dxa"/>
          </w:tcPr>
          <w:p w:rsidR="00117593" w:rsidRPr="00FD7F87" w:rsidRDefault="00117593" w:rsidP="00576A2D">
            <w:pPr>
              <w:spacing w:line="245" w:lineRule="auto"/>
            </w:pPr>
            <w:r w:rsidRPr="00FD7F87">
              <w:t xml:space="preserve">общий объем финансирования– </w:t>
            </w:r>
            <w:r>
              <w:t>208837,29</w:t>
            </w:r>
            <w:r w:rsidRPr="00FD7F87">
              <w:t xml:space="preserve"> тыс. руб., в том числе:</w:t>
            </w:r>
          </w:p>
          <w:p w:rsidR="00117593" w:rsidRPr="00FD7F87" w:rsidRDefault="00117593" w:rsidP="00576A2D">
            <w:pPr>
              <w:spacing w:line="245" w:lineRule="auto"/>
            </w:pPr>
            <w:r w:rsidRPr="00FD7F87">
              <w:t>краевой бюджет-</w:t>
            </w:r>
            <w:r>
              <w:t>3402,20</w:t>
            </w:r>
            <w:r w:rsidRPr="00FD7F87">
              <w:t xml:space="preserve"> тыс. руб.;</w:t>
            </w:r>
          </w:p>
          <w:p w:rsidR="00117593" w:rsidRPr="00FD7F87" w:rsidRDefault="00117593" w:rsidP="00576A2D">
            <w:pPr>
              <w:spacing w:line="245" w:lineRule="auto"/>
            </w:pPr>
            <w:r w:rsidRPr="00FD7F87">
              <w:t xml:space="preserve">бюджет муниципальных образований-  </w:t>
            </w:r>
            <w:r>
              <w:t>205435,09</w:t>
            </w:r>
            <w:r w:rsidRPr="00FD7F87">
              <w:t xml:space="preserve"> тыс. руб. </w:t>
            </w:r>
          </w:p>
          <w:p w:rsidR="00117593" w:rsidRPr="00FD7F87" w:rsidRDefault="00117593" w:rsidP="00576A2D">
            <w:pPr>
              <w:spacing w:line="245" w:lineRule="auto"/>
            </w:pPr>
            <w:r w:rsidRPr="00FD7F87">
              <w:t xml:space="preserve">По годам: </w:t>
            </w:r>
          </w:p>
          <w:p w:rsidR="00117593" w:rsidRPr="00FD7F87" w:rsidRDefault="00117593" w:rsidP="00576A2D">
            <w:pPr>
              <w:spacing w:line="245" w:lineRule="auto"/>
            </w:pPr>
            <w:r w:rsidRPr="00FD7F87">
              <w:t xml:space="preserve">2014 год общий объем- </w:t>
            </w:r>
            <w:r>
              <w:t>40504,05</w:t>
            </w:r>
            <w:r w:rsidRPr="00FD7F87">
              <w:t xml:space="preserve"> тыс. руб. в том числе:</w:t>
            </w:r>
          </w:p>
          <w:p w:rsidR="00117593" w:rsidRPr="00FD7F87" w:rsidRDefault="00117593" w:rsidP="00576A2D">
            <w:pPr>
              <w:spacing w:line="245" w:lineRule="auto"/>
            </w:pPr>
            <w:r w:rsidRPr="00FD7F87">
              <w:t>Краевой -104,80 тыс. руб.;</w:t>
            </w:r>
          </w:p>
          <w:p w:rsidR="00117593" w:rsidRPr="00FD7F87" w:rsidRDefault="00117593" w:rsidP="00576A2D">
            <w:pPr>
              <w:spacing w:line="245" w:lineRule="auto"/>
            </w:pPr>
            <w:proofErr w:type="gramStart"/>
            <w:r>
              <w:t>Муниципальных</w:t>
            </w:r>
            <w:proofErr w:type="gramEnd"/>
            <w:r>
              <w:t xml:space="preserve"> образований-40399,25</w:t>
            </w:r>
            <w:r w:rsidRPr="00FD7F87">
              <w:t xml:space="preserve">  тыс. руб.</w:t>
            </w:r>
          </w:p>
          <w:p w:rsidR="00117593" w:rsidRPr="00FD7F87" w:rsidRDefault="00117593" w:rsidP="00576A2D">
            <w:pPr>
              <w:spacing w:line="245" w:lineRule="auto"/>
            </w:pPr>
            <w:r w:rsidRPr="00FD7F87">
              <w:t>2015 год общий объем финансирования –</w:t>
            </w:r>
            <w:r>
              <w:t xml:space="preserve">46968,74 </w:t>
            </w:r>
            <w:r w:rsidRPr="00FD7F87">
              <w:t xml:space="preserve"> тыс. руб. в том числе: </w:t>
            </w:r>
          </w:p>
          <w:p w:rsidR="00117593" w:rsidRPr="00FD7F87" w:rsidRDefault="00117593" w:rsidP="00576A2D">
            <w:pPr>
              <w:spacing w:line="245" w:lineRule="auto"/>
            </w:pPr>
            <w:r w:rsidRPr="00FD7F87">
              <w:t>Краевой-</w:t>
            </w:r>
            <w:r>
              <w:t>3264,20</w:t>
            </w:r>
            <w:r w:rsidRPr="00FD7F87">
              <w:t xml:space="preserve"> тыс. руб.;</w:t>
            </w:r>
          </w:p>
          <w:p w:rsidR="00117593" w:rsidRPr="00FD7F87" w:rsidRDefault="00117593" w:rsidP="00576A2D">
            <w:pPr>
              <w:spacing w:line="245" w:lineRule="auto"/>
            </w:pPr>
            <w:proofErr w:type="gramStart"/>
            <w:r w:rsidRPr="00FD7F87">
              <w:t>Муниципальных</w:t>
            </w:r>
            <w:proofErr w:type="gramEnd"/>
            <w:r w:rsidRPr="00FD7F87">
              <w:t xml:space="preserve"> образований-</w:t>
            </w:r>
            <w:r>
              <w:t xml:space="preserve">43704,54  </w:t>
            </w:r>
            <w:r w:rsidRPr="00FD7F87">
              <w:t>тыс. руб.</w:t>
            </w:r>
          </w:p>
          <w:p w:rsidR="00117593" w:rsidRPr="00FD7F87" w:rsidRDefault="00117593" w:rsidP="00576A2D">
            <w:pPr>
              <w:spacing w:line="245" w:lineRule="auto"/>
            </w:pPr>
            <w:r w:rsidRPr="00FD7F87">
              <w:t>2016 год –</w:t>
            </w:r>
            <w:r>
              <w:t>42578,5</w:t>
            </w:r>
            <w:r w:rsidRPr="00FD7F87">
              <w:t xml:space="preserve"> тыс. руб. в том числе:</w:t>
            </w:r>
          </w:p>
          <w:p w:rsidR="00117593" w:rsidRPr="00FD7F87" w:rsidRDefault="00117593" w:rsidP="00576A2D">
            <w:pPr>
              <w:spacing w:line="245" w:lineRule="auto"/>
            </w:pPr>
            <w:r w:rsidRPr="00FD7F87">
              <w:t>Краевой-16,6 тыс. руб.;</w:t>
            </w:r>
          </w:p>
          <w:p w:rsidR="00117593" w:rsidRPr="00FD7F87" w:rsidRDefault="00117593" w:rsidP="00576A2D">
            <w:pPr>
              <w:spacing w:line="245" w:lineRule="auto"/>
            </w:pPr>
            <w:proofErr w:type="gramStart"/>
            <w:r w:rsidRPr="00FD7F87">
              <w:t>Муниципальных</w:t>
            </w:r>
            <w:proofErr w:type="gramEnd"/>
            <w:r w:rsidRPr="00FD7F87">
              <w:t xml:space="preserve"> образований-</w:t>
            </w:r>
            <w:r>
              <w:t>42561,90</w:t>
            </w:r>
            <w:r w:rsidRPr="00FD7F87">
              <w:t xml:space="preserve"> тыс. руб.</w:t>
            </w:r>
          </w:p>
          <w:p w:rsidR="00117593" w:rsidRPr="00FD7F87" w:rsidRDefault="00117593" w:rsidP="00576A2D">
            <w:pPr>
              <w:spacing w:line="245" w:lineRule="auto"/>
            </w:pPr>
            <w:r>
              <w:t>2017 год –39599,20</w:t>
            </w:r>
            <w:r w:rsidRPr="00FD7F87">
              <w:t xml:space="preserve"> тыс. руб. в том числе:</w:t>
            </w:r>
          </w:p>
          <w:p w:rsidR="00117593" w:rsidRPr="00FD7F87" w:rsidRDefault="00117593" w:rsidP="00576A2D">
            <w:pPr>
              <w:spacing w:line="245" w:lineRule="auto"/>
            </w:pPr>
            <w:r w:rsidRPr="00FD7F87">
              <w:t>Краевой-16,6 тыс. руб.;</w:t>
            </w:r>
          </w:p>
          <w:p w:rsidR="00117593" w:rsidRDefault="00117593" w:rsidP="00576A2D">
            <w:pPr>
              <w:spacing w:line="245" w:lineRule="auto"/>
            </w:pPr>
            <w:proofErr w:type="gramStart"/>
            <w:r w:rsidRPr="00FD7F87">
              <w:t>Муниципальных</w:t>
            </w:r>
            <w:proofErr w:type="gramEnd"/>
            <w:r w:rsidRPr="00FD7F87">
              <w:t xml:space="preserve"> образований-3</w:t>
            </w:r>
            <w:r>
              <w:t>9582,60</w:t>
            </w:r>
            <w:r w:rsidRPr="00FD7F87">
              <w:t xml:space="preserve"> тыс. руб.</w:t>
            </w:r>
          </w:p>
          <w:p w:rsidR="00117593" w:rsidRDefault="00117593" w:rsidP="00576A2D">
            <w:pPr>
              <w:spacing w:line="245" w:lineRule="auto"/>
            </w:pPr>
            <w:r>
              <w:t>2018 год –39186,80 тыс. руб. в том числе:</w:t>
            </w:r>
          </w:p>
          <w:p w:rsidR="00117593" w:rsidRPr="00FD7F87" w:rsidRDefault="00117593" w:rsidP="00576A2D">
            <w:pPr>
              <w:spacing w:line="245" w:lineRule="auto"/>
            </w:pPr>
            <w:proofErr w:type="gramStart"/>
            <w:r>
              <w:t>Муниципальных</w:t>
            </w:r>
            <w:proofErr w:type="gramEnd"/>
            <w:r>
              <w:t xml:space="preserve"> образований-39186,80 тыс. руб.</w:t>
            </w:r>
          </w:p>
        </w:tc>
      </w:tr>
    </w:tbl>
    <w:p w:rsidR="00117593" w:rsidRPr="00FD7F87" w:rsidRDefault="00117593" w:rsidP="00117593">
      <w:pPr>
        <w:widowControl w:val="0"/>
        <w:autoSpaceDE w:val="0"/>
        <w:autoSpaceDN w:val="0"/>
        <w:adjustRightInd w:val="0"/>
      </w:pPr>
    </w:p>
    <w:p w:rsidR="00000000" w:rsidRDefault="00117593"/>
    <w:sectPr w:rsidR="00000000" w:rsidSect="0073718D">
      <w:headerReference w:type="even" r:id="rId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EFA" w:rsidRDefault="00117593" w:rsidP="0046567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7EFA" w:rsidRDefault="0011759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proofState w:spelling="clean" w:grammar="clean"/>
  <w:defaultTabStop w:val="708"/>
  <w:characterSpacingControl w:val="doNotCompress"/>
  <w:compat>
    <w:useFELayout/>
  </w:compat>
  <w:rsids>
    <w:rsidRoot w:val="00117593"/>
    <w:rsid w:val="00117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175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175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1175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rsid w:val="0011759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11759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1175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2839</Characters>
  <Application>Microsoft Office Word</Application>
  <DocSecurity>0</DocSecurity>
  <Lines>23</Lines>
  <Paragraphs>6</Paragraphs>
  <ScaleCrop>false</ScaleCrop>
  <Company>УФК по Красноярскому краю</Company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Наталья</dc:creator>
  <cp:keywords/>
  <dc:description/>
  <cp:lastModifiedBy>Кравченко Наталья</cp:lastModifiedBy>
  <cp:revision>2</cp:revision>
  <dcterms:created xsi:type="dcterms:W3CDTF">2015-11-13T11:35:00Z</dcterms:created>
  <dcterms:modified xsi:type="dcterms:W3CDTF">2015-11-13T11:35:00Z</dcterms:modified>
</cp:coreProperties>
</file>